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A8" w:rsidRPr="009E3EA8" w:rsidRDefault="009E3EA8" w:rsidP="009E3E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 xml:space="preserve">Итоговое сочинение: вопросы и ответы 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Какие задачи решает итоговое сочинение?     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Итоговое сочинение является допуском к государственной итоговой аттестации (оценка школой: «зачет-незачет») и  форма индивидуальных достижений абитуриентов (оценка вуза: до 10 баллов к ЕГЭ, если вуз такое решение принял). Учет результатов сочинений в вузах осуществляется по желанию абитуриента и решению вуза.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Каким дополнительным материалом можно пользоваться при написании итогового сочинения?  Может ли участник пользоваться литературным источником (текстом произведения)?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При проведении сочинения участникам сочинения запрещается пользоваться текстами литературного материала (художественные произведения, дневники, мемуары, публицистика).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Разрешается пользоваться орфографическими словарями, выданными членами комиссии образовательной организации по проведению итогового сочинения (изложения).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На скольких произведениях нужно  строить рассуждение?       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Можно строить рассуждение с опорой на  одно  произведение. Темы позволят выпускнику выбирать литературный материал, на который он будет опираться в своих рассуждениях.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Что собой представляют темы итогового сочинения? 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Темы разрабатываются в рамках открытых направлений, которые размещены на сайте ФИПИ. При составлении тем сочинений не используются узко заданные </w:t>
      </w:r>
      <w:proofErr w:type="gramStart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формулировки</w:t>
      </w:r>
      <w:proofErr w:type="gramEnd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осуществляется опора на следующие принципы: посильность, ясность и точность постановки проблемы. Образцы тем под открытые направления не предлагаются.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Итоговое сочинение - это сочинение по литературе?            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Итоговое сочинение носит </w:t>
      </w:r>
      <w:proofErr w:type="spellStart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надпредметный</w:t>
      </w:r>
      <w:proofErr w:type="spellEnd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характер. При этом оно </w:t>
      </w:r>
      <w:proofErr w:type="spellStart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литературоцентрично</w:t>
      </w:r>
      <w:proofErr w:type="spellEnd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Опора на литературный материал 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тематикой и проблематикой произведения, системой персонажей и т.д.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Что подразумевается под литературным материалом, на который нужно опираться при написании итогового сочинения?       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Литературный материал берется из отечественной или мировой литературы – это художественные произведения, дневники, мемуары, публицистика.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 каких случаях за сочинение может быть выставлен "зачет"?   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Для получения «зачета» необходимо иметь положительный результат по трем критериям (по критериям №1 (соответствие теме) и №2 (аргументация, привлечение литературного материала) – в обязательном порядке); выдержать объем (сочинение не менее 250 слов) и написать работу самостоятельно.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 каком жанре нужно писать итоговое сочинение? 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Выпускник должен написать сочинение-рассуждение, что отражено в критериях оценивания.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Будут ли формулировки тем итогового сочинения только в виде вопроса? 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Формулировки тем будут разные: констатирующие, цитатные, в форме вопроса.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 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ДЛЯ ЭКСПЕРТОВ, ПРОВЕРЯЮЩИХ РАБОТЫ: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Каковы особенности заполнения  нижней части бланка регистрации?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Нижняя часть бланка заполняется </w:t>
      </w:r>
      <w:proofErr w:type="gramStart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ответственным</w:t>
      </w:r>
      <w:proofErr w:type="gramEnd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перенос результатов проверки работы.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167630" cy="2604770"/>
            <wp:effectExtent l="19050" t="0" r="0" b="0"/>
            <wp:docPr id="1" name="Рисунок 1" descr="http://www.fipi.ru/sites/default/files/pictures/blanc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pi.ru/sites/default/files/pictures/blanc_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EA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</w:t>
      </w:r>
      <w:r w:rsidRPr="009E3EA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>Область для оценки работы.</w:t>
      </w:r>
    </w:p>
    <w:p w:rsidR="009E3EA8" w:rsidRPr="009E3EA8" w:rsidRDefault="009E3EA8" w:rsidP="009E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в сочинении менее 250 слов, то сочинение не проверяется по критериям №1-№5. В клетки по всем критериям оценивания выставляется «незачет».</w:t>
      </w:r>
    </w:p>
    <w:p w:rsidR="009E3EA8" w:rsidRPr="009E3EA8" w:rsidRDefault="009E3EA8" w:rsidP="009E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за сочинение по критерию №1 выставлен «незачет», то сочинение по критериям №2-№5 не проверяется. В клетки по всем критериям оценивания выставляется «незачет».</w:t>
      </w:r>
    </w:p>
    <w:p w:rsidR="009E3EA8" w:rsidRPr="009E3EA8" w:rsidRDefault="009E3EA8" w:rsidP="009E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за сочинение по критерию по критерию №1 выставлен «зачет», а по критерию №2 выставлен «незачет», то сочинение по критериям №3-№5 не проверяется. В клетки по критериям оценивания №3-№5 выставляется «незачет».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 всех остальных случаях сочинение проверяется по всем пяти критериям и оценивается в системе «зачет</w:t>
      </w:r>
      <w:proofErr w:type="gramStart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»-</w:t>
      </w:r>
      <w:proofErr w:type="gramEnd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«незачет» (например, недопустимо не проверять работу по критериям К4 и К5, если выпускник получил зачет на основании зачетов по критериям К1, К2, К3).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Можно ли не проверять сочинения выпускников прошлых лет?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Проверяются все работы, в том числе выпускников прошлых лет.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Какова специфическая роль учителя-словесника при проведении итогового сочинения?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Специфических задач для учителя-словесника нет. У педагога, находящегося в аудитории во время проведения сочинения, есть организационные  задачи: помощь в оформлении бланков регистрации, поддержание дисциплины, предотвращение случаев списывания, отслеживание временного регламента.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Может ли учитель комментировать темы сочинения перед его проведением (ранее традиция такая была)?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Учительский комментарий к темам не предполагается. В методических рекомендациях для образовательных организаций сказано, что член комиссии должен: "ознакомить 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участников итогового сочинения (изложения) с темами сочинений". </w:t>
      </w:r>
      <w:proofErr w:type="gramStart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Это означает, что темы должны быть доведены до сведения выпускников (написаны на доске, прочитаны, например, для слепых обучающихся, розданы на парты (если есть возможность их распечатать).</w:t>
      </w:r>
      <w:proofErr w:type="gramEnd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Обязательно на парте каждого выпускника должна лежать инструкция для участника.</w:t>
      </w:r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Возможна ли в сочинении опора на Библию, произведения устного народного творчества?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Методических рекомендациях по подготовке к итоговому сочинению (изложению), размещенных на сайте ФГБНУ «ФИПИ», даны разъяснения по вопросу привлечения литературного материала. Данная информация содержится непосредственно в «Критериях оценивания итогового сочинения организациями, реализующими образовательные программы среднего общего образования». В комментарии к Критерию №2 «Аргументация. Привлечение литературного материала» сказано: «Данный критерий нацеливает на проверку умения использовать литературный материал (художественные произведения, дневники, мемуары, публицистику) для построения рассуждения на предложенную тему и для аргументации своей позиции». О возможности использовать Библию напрямую не говорится в силу светского характера образования. Но Библию, безусловно, можно рассматривать как литературный источник. Если сочинение будет опираться на Библию, это не приведет к незачету по указанному параметру.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своих рассуждениях автор сочинения может также опираться на произведения устного народного творчества.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Критерий № 2 «Аргументация. Привлечение литературного материала»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Данный критерий нацеливает на проверку умения использовать литературный материал (художественные </w:t>
      </w:r>
      <w:r w:rsidRPr="009E3EA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и фольклорные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произведения, дневники, мемуары, публицистику, </w:t>
      </w:r>
      <w:r w:rsidRPr="009E3EA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другие литературные источники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для построения рассуждения на предложенную тему и для аргументации своей позиции.</w:t>
      </w: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gramStart"/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9E3EA8" w:rsidRPr="009E3EA8" w:rsidRDefault="009E3EA8" w:rsidP="009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E3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DD396B" w:rsidRPr="009E3EA8" w:rsidRDefault="00DD396B">
      <w:pPr>
        <w:rPr>
          <w:lang w:val="ru-RU"/>
        </w:rPr>
      </w:pPr>
    </w:p>
    <w:sectPr w:rsidR="00DD396B" w:rsidRPr="009E3EA8" w:rsidSect="00DD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3EB7"/>
    <w:multiLevelType w:val="multilevel"/>
    <w:tmpl w:val="F076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3EA8"/>
    <w:rsid w:val="007D55ED"/>
    <w:rsid w:val="009E3EA8"/>
    <w:rsid w:val="00CE0AFA"/>
    <w:rsid w:val="00DD396B"/>
    <w:rsid w:val="00EF4FE8"/>
    <w:rsid w:val="00F6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E8"/>
  </w:style>
  <w:style w:type="paragraph" w:styleId="1">
    <w:name w:val="heading 1"/>
    <w:basedOn w:val="a"/>
    <w:next w:val="a"/>
    <w:link w:val="10"/>
    <w:uiPriority w:val="9"/>
    <w:qFormat/>
    <w:rsid w:val="00EF4FE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E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FE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F4FE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4FE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4FE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4FE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F4F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F4F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4FE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4FE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F4F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4FE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4FE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4FE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F4FE8"/>
    <w:rPr>
      <w:b/>
      <w:bCs/>
    </w:rPr>
  </w:style>
  <w:style w:type="character" w:styleId="a8">
    <w:name w:val="Emphasis"/>
    <w:uiPriority w:val="20"/>
    <w:qFormat/>
    <w:rsid w:val="00EF4FE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F4FE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F4F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4FE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4FE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F4F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F4FE8"/>
    <w:rPr>
      <w:i/>
      <w:iCs/>
    </w:rPr>
  </w:style>
  <w:style w:type="character" w:styleId="ad">
    <w:name w:val="Subtle Emphasis"/>
    <w:uiPriority w:val="19"/>
    <w:qFormat/>
    <w:rsid w:val="00EF4FE8"/>
    <w:rPr>
      <w:i/>
      <w:iCs/>
    </w:rPr>
  </w:style>
  <w:style w:type="character" w:styleId="ae">
    <w:name w:val="Intense Emphasis"/>
    <w:uiPriority w:val="21"/>
    <w:qFormat/>
    <w:rsid w:val="00EF4FE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F4FE8"/>
    <w:rPr>
      <w:smallCaps/>
    </w:rPr>
  </w:style>
  <w:style w:type="character" w:styleId="af0">
    <w:name w:val="Intense Reference"/>
    <w:uiPriority w:val="32"/>
    <w:qFormat/>
    <w:rsid w:val="00EF4FE8"/>
    <w:rPr>
      <w:b/>
      <w:bCs/>
      <w:smallCaps/>
    </w:rPr>
  </w:style>
  <w:style w:type="character" w:styleId="af1">
    <w:name w:val="Book Title"/>
    <w:basedOn w:val="a0"/>
    <w:uiPriority w:val="33"/>
    <w:qFormat/>
    <w:rsid w:val="00EF4FE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F4FE8"/>
    <w:pPr>
      <w:outlineLvl w:val="9"/>
    </w:pPr>
  </w:style>
  <w:style w:type="paragraph" w:customStyle="1" w:styleId="rtejustify">
    <w:name w:val="rtejustify"/>
    <w:basedOn w:val="a"/>
    <w:rsid w:val="009E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3">
    <w:name w:val="Normal (Web)"/>
    <w:basedOn w:val="a"/>
    <w:uiPriority w:val="99"/>
    <w:semiHidden/>
    <w:unhideWhenUsed/>
    <w:rsid w:val="009E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rtecenter">
    <w:name w:val="rtecenter"/>
    <w:basedOn w:val="a"/>
    <w:rsid w:val="009E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9E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3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5753</Characters>
  <Application>Microsoft Office Word</Application>
  <DocSecurity>0</DocSecurity>
  <Lines>47</Lines>
  <Paragraphs>13</Paragraphs>
  <ScaleCrop>false</ScaleCrop>
  <Company>Школа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Е.Н.</dc:creator>
  <cp:keywords/>
  <dc:description/>
  <cp:lastModifiedBy>Хохлова Е.Н.</cp:lastModifiedBy>
  <cp:revision>2</cp:revision>
  <dcterms:created xsi:type="dcterms:W3CDTF">2014-11-29T06:49:00Z</dcterms:created>
  <dcterms:modified xsi:type="dcterms:W3CDTF">2014-11-29T06:50:00Z</dcterms:modified>
</cp:coreProperties>
</file>